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88" w:rsidRDefault="00F1521E" w:rsidP="00D45888">
      <w:pPr>
        <w:pStyle w:val="Default"/>
        <w:jc w:val="center"/>
        <w:rPr>
          <w:b/>
          <w:sz w:val="36"/>
          <w:szCs w:val="36"/>
          <w:u w:val="single"/>
        </w:rPr>
      </w:pPr>
      <w:bookmarkStart w:id="0" w:name="_GoBack"/>
      <w:bookmarkEnd w:id="0"/>
      <w:r>
        <w:rPr>
          <w:b/>
          <w:bCs/>
          <w:noProof/>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8.35pt;margin-top:-2.7pt;width:77.3pt;height:74.45pt;z-index:251660288">
            <v:imagedata r:id="rId8" o:title=""/>
            <w10:wrap type="square"/>
          </v:shape>
          <o:OLEObject Type="Embed" ProgID="Word.Picture.8" ShapeID="_x0000_s1027" DrawAspect="Content" ObjectID="_1540281437" r:id="rId9"/>
        </w:pict>
      </w:r>
      <w:r>
        <w:rPr>
          <w:noProof/>
          <w:sz w:val="36"/>
          <w:szCs w:val="36"/>
        </w:rPr>
        <w:pict>
          <v:shape id="_x0000_s1026" type="#_x0000_t75" style="position:absolute;left:0;text-align:left;margin-left:-14.05pt;margin-top:-9.1pt;width:77.3pt;height:74.45pt;z-index:251659264">
            <v:imagedata r:id="rId8" o:title=""/>
            <w10:wrap type="square"/>
          </v:shape>
          <o:OLEObject Type="Embed" ProgID="Word.Picture.8" ShapeID="_x0000_s1026" DrawAspect="Content" ObjectID="_1540281438" r:id="rId10"/>
        </w:pict>
      </w:r>
      <w:r w:rsidR="00D45888" w:rsidRPr="00BF06AB">
        <w:rPr>
          <w:b/>
          <w:sz w:val="36"/>
          <w:szCs w:val="36"/>
          <w:u w:val="single"/>
        </w:rPr>
        <w:t>Mill Lane Community School</w:t>
      </w:r>
      <w:r w:rsidR="00D45888">
        <w:rPr>
          <w:b/>
          <w:sz w:val="36"/>
          <w:szCs w:val="36"/>
          <w:u w:val="single"/>
        </w:rPr>
        <w:t xml:space="preserve"> &amp;</w:t>
      </w:r>
    </w:p>
    <w:p w:rsidR="00D45888" w:rsidRPr="00BF06AB" w:rsidRDefault="00D45888" w:rsidP="00D45888">
      <w:pPr>
        <w:jc w:val="center"/>
        <w:rPr>
          <w:b/>
          <w:sz w:val="36"/>
          <w:szCs w:val="36"/>
          <w:u w:val="single"/>
        </w:rPr>
      </w:pPr>
      <w:r>
        <w:rPr>
          <w:b/>
          <w:sz w:val="36"/>
          <w:szCs w:val="36"/>
          <w:u w:val="single"/>
        </w:rPr>
        <w:t>Windmill Community Nursery</w:t>
      </w:r>
    </w:p>
    <w:p w:rsidR="00D45888" w:rsidRPr="00BF06AB" w:rsidRDefault="00D45888" w:rsidP="00D45888">
      <w:pPr>
        <w:jc w:val="center"/>
        <w:rPr>
          <w:b/>
          <w:i/>
          <w:sz w:val="28"/>
          <w:szCs w:val="28"/>
          <w:u w:val="single"/>
        </w:rPr>
      </w:pPr>
    </w:p>
    <w:p w:rsidR="00D45888" w:rsidRPr="00BF06AB" w:rsidRDefault="00D45888" w:rsidP="00D45888">
      <w:pPr>
        <w:jc w:val="center"/>
        <w:rPr>
          <w:b/>
          <w:sz w:val="32"/>
          <w:szCs w:val="32"/>
        </w:rPr>
      </w:pPr>
      <w:r w:rsidRPr="00BF06AB">
        <w:rPr>
          <w:b/>
          <w:i/>
          <w:sz w:val="32"/>
          <w:szCs w:val="32"/>
        </w:rPr>
        <w:t>Together we can succeed</w:t>
      </w:r>
    </w:p>
    <w:p w:rsidR="00D45888" w:rsidRDefault="00D45888" w:rsidP="00D45888">
      <w:pPr>
        <w:jc w:val="center"/>
        <w:rPr>
          <w:b/>
          <w:sz w:val="28"/>
          <w:szCs w:val="28"/>
          <w:u w:val="single"/>
        </w:rPr>
      </w:pPr>
    </w:p>
    <w:p w:rsidR="009278BC" w:rsidRDefault="00D45888" w:rsidP="00D45888">
      <w:pPr>
        <w:jc w:val="center"/>
        <w:rPr>
          <w:b/>
          <w:sz w:val="36"/>
          <w:szCs w:val="40"/>
        </w:rPr>
      </w:pPr>
      <w:r w:rsidRPr="00D45888">
        <w:rPr>
          <w:b/>
          <w:sz w:val="36"/>
          <w:szCs w:val="40"/>
        </w:rPr>
        <w:t>Managing allegations against other pupils (peer on peer abuse)</w:t>
      </w:r>
    </w:p>
    <w:p w:rsidR="00D45888" w:rsidRDefault="00D45888" w:rsidP="00D45888">
      <w:pPr>
        <w:pStyle w:val="NoSpacing"/>
      </w:pPr>
    </w:p>
    <w:p w:rsidR="00D45888" w:rsidRDefault="00D45888" w:rsidP="00D45888">
      <w:r>
        <w:t>This policy applies to Mill Lane Community Primary School and the attached Windmill Community Nursery as well as the extended services provision provided by Mill Lane.</w:t>
      </w:r>
    </w:p>
    <w:p w:rsidR="00D45888" w:rsidRDefault="00D45888" w:rsidP="00D45888">
      <w:pPr>
        <w:rPr>
          <w:u w:val="single"/>
        </w:rPr>
      </w:pPr>
    </w:p>
    <w:p w:rsidR="00D45888" w:rsidRDefault="00D45888" w:rsidP="00D45888">
      <w:pPr>
        <w:rPr>
          <w:u w:val="single"/>
        </w:rPr>
      </w:pPr>
      <w:r w:rsidRPr="007C2F7B">
        <w:rPr>
          <w:u w:val="single"/>
        </w:rPr>
        <w:t>Policy:-</w:t>
      </w:r>
    </w:p>
    <w:p w:rsidR="00D45888" w:rsidRDefault="00D45888" w:rsidP="00D45888">
      <w:r>
        <w:t>At Mill Lane Community Primary School and Windmill Nursery we believe that all children have a right to attend school and learn in a safe environment. Children should be free from harm by adults in the school and other students.</w:t>
      </w:r>
    </w:p>
    <w:p w:rsidR="00D45888" w:rsidRDefault="00D45888" w:rsidP="00D45888">
      <w:r>
        <w:t xml:space="preserve"> </w:t>
      </w:r>
    </w:p>
    <w:p w:rsidR="00D45888" w:rsidRDefault="00D45888" w:rsidP="00D45888">
      <w:r>
        <w:t>We recognise that some students will sometimes negatively affect the learning and wellbeing of others and their behaviour will be dealt with under the school’s behaviour policy.</w:t>
      </w:r>
    </w:p>
    <w:p w:rsidR="00D45888" w:rsidRDefault="00D45888" w:rsidP="00D45888">
      <w:pPr>
        <w:tabs>
          <w:tab w:val="left" w:pos="6360"/>
        </w:tabs>
        <w:rPr>
          <w:u w:val="single"/>
        </w:rPr>
      </w:pPr>
    </w:p>
    <w:p w:rsidR="00D45888" w:rsidRPr="00DE5D92" w:rsidRDefault="00D45888" w:rsidP="00D45888">
      <w:pPr>
        <w:tabs>
          <w:tab w:val="left" w:pos="6360"/>
        </w:tabs>
        <w:rPr>
          <w:u w:val="single"/>
        </w:rPr>
      </w:pPr>
      <w:r w:rsidRPr="00DE5D92">
        <w:rPr>
          <w:u w:val="single"/>
        </w:rPr>
        <w:t>Introduction</w:t>
      </w:r>
    </w:p>
    <w:p w:rsidR="00D45888" w:rsidRDefault="00D45888" w:rsidP="00D45888">
      <w:r>
        <w:t>DfE guidance Keeping Children Safe in Education (2016) says that “governing bodies</w:t>
      </w:r>
      <w:r w:rsidRPr="00DB46C7">
        <w:t xml:space="preserve"> should ensure that there are procedures in place to handle all</w:t>
      </w:r>
      <w:r>
        <w:t xml:space="preserve">egations against other children”. The guidance also states the importance of minimising the risks of peer-on- peer abuse. </w:t>
      </w:r>
      <w:r w:rsidRPr="00DB46C7">
        <w:t xml:space="preserve"> </w:t>
      </w:r>
    </w:p>
    <w:p w:rsidR="00D45888" w:rsidRDefault="00D45888" w:rsidP="00D45888"/>
    <w:p w:rsidR="00D45888" w:rsidRDefault="00D45888" w:rsidP="00D45888">
      <w:r w:rsidRPr="00DB46C7">
        <w:t xml:space="preserve">In most instances, the conduct of students towards each other will be covered by the school’s behaviour policy. </w:t>
      </w:r>
      <w:r>
        <w:t>However s</w:t>
      </w:r>
      <w:r w:rsidRPr="00DB46C7">
        <w:t>ome allegations m</w:t>
      </w:r>
      <w:r>
        <w:t>ight</w:t>
      </w:r>
      <w:r w:rsidRPr="00DB46C7">
        <w:t xml:space="preserve"> be of such a serious nature that they </w:t>
      </w:r>
      <w:r>
        <w:t xml:space="preserve">become </w:t>
      </w:r>
      <w:r w:rsidRPr="00DB46C7">
        <w:t>safeguarding concerns. These allegations are most likely to include physical abuse, emotional abuse, sexual abuse and sexual exploitation</w:t>
      </w:r>
      <w:r>
        <w:t>; however we are aware that the abuse may take any form.</w:t>
      </w:r>
    </w:p>
    <w:p w:rsidR="00D45888" w:rsidRDefault="00D45888" w:rsidP="00D45888"/>
    <w:p w:rsidR="00D45888" w:rsidRPr="007C2F7B" w:rsidRDefault="00D45888" w:rsidP="00D45888">
      <w:pPr>
        <w:rPr>
          <w:u w:val="single"/>
        </w:rPr>
      </w:pPr>
      <w:r w:rsidRPr="007C2F7B">
        <w:rPr>
          <w:u w:val="single"/>
        </w:rPr>
        <w:t>Definition</w:t>
      </w:r>
      <w:r>
        <w:rPr>
          <w:u w:val="single"/>
        </w:rPr>
        <w:t>*</w:t>
      </w:r>
      <w:r w:rsidRPr="007C2F7B">
        <w:rPr>
          <w:u w:val="single"/>
        </w:rPr>
        <w:t xml:space="preserve"> </w:t>
      </w:r>
    </w:p>
    <w:p w:rsidR="00D45888" w:rsidRPr="00D45888" w:rsidRDefault="00D45888" w:rsidP="00D45888">
      <w:pPr>
        <w:pStyle w:val="Default"/>
        <w:rPr>
          <w:rFonts w:ascii="Times New Roman" w:hAnsi="Times New Roman" w:cs="Times New Roman"/>
        </w:rPr>
      </w:pP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domestic abuse (Home Office 2013) relates to young people aged 16 and 17 who experience physical, emotional, sexual and/or financial abuse, and coercive control, in their intimate relationships </w:t>
      </w: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child sexual exploitation (DCSF 2009) captures young people aged under-18 who are sexually abused in the context of exploitative relationships, contexts and situations by a person of any age – including another young person </w:t>
      </w: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young people who display harmful sexual behaviour refers to any young person, under the age of 18, who demonstrates behaviour outside of their normative parameters of development (this includes, but is not exclusive to abusive behaviours) (Hackett 2011, NICE 2014) </w:t>
      </w:r>
    </w:p>
    <w:p w:rsidR="00D45888" w:rsidRPr="00D45888" w:rsidRDefault="00D45888" w:rsidP="00D45888">
      <w:pPr>
        <w:pStyle w:val="Default"/>
        <w:numPr>
          <w:ilvl w:val="0"/>
          <w:numId w:val="1"/>
        </w:numPr>
        <w:rPr>
          <w:rFonts w:ascii="Times New Roman" w:hAnsi="Times New Roman" w:cs="Times New Roman"/>
        </w:rPr>
      </w:pPr>
      <w:r w:rsidRPr="00D45888">
        <w:rPr>
          <w:rFonts w:ascii="Times New Roman" w:hAnsi="Times New Roman" w:cs="Times New Roman"/>
        </w:rPr>
        <w:t xml:space="preserve">Serious youth violence is defined with reference to offences (as opposed to relationships/contexts) and captures all those of the most serious in nature </w:t>
      </w:r>
    </w:p>
    <w:p w:rsidR="00D45888" w:rsidRPr="00D45888" w:rsidRDefault="00D45888" w:rsidP="00D45888">
      <w:pPr>
        <w:pStyle w:val="Default"/>
        <w:ind w:left="675"/>
        <w:rPr>
          <w:rFonts w:ascii="Times New Roman" w:hAnsi="Times New Roman" w:cs="Times New Roman"/>
        </w:rPr>
      </w:pPr>
      <w:r w:rsidRPr="00D45888">
        <w:rPr>
          <w:rFonts w:ascii="Times New Roman" w:hAnsi="Times New Roman" w:cs="Times New Roman"/>
        </w:rPr>
        <w:t xml:space="preserve">including murder, rape and GBH between young people under-18                       (London Safeguarding Children Board 2009) </w:t>
      </w:r>
    </w:p>
    <w:p w:rsidR="00D45888" w:rsidRDefault="00D45888" w:rsidP="00D45888">
      <w:pPr>
        <w:pStyle w:val="Default"/>
        <w:ind w:left="720"/>
      </w:pPr>
    </w:p>
    <w:p w:rsidR="00D45888" w:rsidRPr="007C2F7B" w:rsidRDefault="00D45888" w:rsidP="00D45888">
      <w:pPr>
        <w:pStyle w:val="Default"/>
        <w:ind w:left="675"/>
      </w:pPr>
      <w:r>
        <w:t>*</w:t>
      </w:r>
      <w:r w:rsidRPr="007C2F7B">
        <w:rPr>
          <w:bCs/>
          <w:sz w:val="20"/>
          <w:szCs w:val="20"/>
        </w:rPr>
        <w:t xml:space="preserve">Practitioner Briefing #1: What is peer-on-peer abuse? </w:t>
      </w:r>
      <w:r w:rsidRPr="007C2F7B">
        <w:rPr>
          <w:sz w:val="20"/>
          <w:szCs w:val="20"/>
        </w:rPr>
        <w:t>Carlene Firmin and George Curtis,  MsUnderstood Partnership (2015)</w:t>
      </w:r>
    </w:p>
    <w:p w:rsidR="00D45888" w:rsidRPr="00DE5D92" w:rsidRDefault="00D45888" w:rsidP="00D45888">
      <w:pPr>
        <w:rPr>
          <w:u w:val="single"/>
        </w:rPr>
      </w:pPr>
    </w:p>
    <w:p w:rsidR="00D45888" w:rsidRDefault="00D45888" w:rsidP="00D45888">
      <w:pPr>
        <w:rPr>
          <w:u w:val="single"/>
        </w:rPr>
      </w:pPr>
    </w:p>
    <w:p w:rsidR="00D45888" w:rsidRPr="00DE5D92" w:rsidRDefault="00D45888" w:rsidP="00D45888">
      <w:pPr>
        <w:rPr>
          <w:u w:val="single"/>
        </w:rPr>
      </w:pPr>
      <w:r w:rsidRPr="00DE5D92">
        <w:rPr>
          <w:u w:val="single"/>
        </w:rPr>
        <w:t>The safeguarding implications of sexual activity between young people</w:t>
      </w:r>
      <w:r w:rsidRPr="00DE5D92">
        <w:rPr>
          <w:rStyle w:val="EndnoteReference"/>
          <w:u w:val="single"/>
        </w:rPr>
        <w:endnoteReference w:id="1"/>
      </w:r>
    </w:p>
    <w:p w:rsidR="00D45888" w:rsidRDefault="00D45888" w:rsidP="00D45888"/>
    <w:p w:rsidR="00D45888" w:rsidRPr="00172BA5" w:rsidRDefault="00D45888" w:rsidP="00D45888">
      <w:pPr>
        <w:tabs>
          <w:tab w:val="left" w:pos="6360"/>
        </w:tabs>
      </w:pPr>
      <w:r>
        <w:lastRenderedPageBreak/>
        <w:t>The intervention of child protection agencies in situations involving sexual activity between children can require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w:t>
      </w:r>
    </w:p>
    <w:p w:rsidR="00D45888" w:rsidRPr="00D45888" w:rsidRDefault="00D45888" w:rsidP="00D45888">
      <w:pPr>
        <w:pStyle w:val="NoSpacing"/>
      </w:pPr>
    </w:p>
    <w:sectPr w:rsidR="00D45888" w:rsidRPr="00D45888" w:rsidSect="00D458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88" w:rsidRDefault="00D45888" w:rsidP="00D45888">
      <w:r>
        <w:separator/>
      </w:r>
    </w:p>
  </w:endnote>
  <w:endnote w:type="continuationSeparator" w:id="0">
    <w:p w:rsidR="00D45888" w:rsidRDefault="00D45888" w:rsidP="00D45888">
      <w:r>
        <w:continuationSeparator/>
      </w:r>
    </w:p>
  </w:endnote>
  <w:endnote w:id="1">
    <w:p w:rsidR="00D45888" w:rsidRDefault="00D45888" w:rsidP="00D45888">
      <w:pPr>
        <w:pStyle w:val="EndnoteText"/>
      </w:pPr>
      <w:r>
        <w:rPr>
          <w:rStyle w:val="EndnoteReference"/>
        </w:rPr>
        <w:endnoteRef/>
      </w:r>
      <w:r>
        <w:t xml:space="preserve"> Taken from The safeguarding  implications of events leading to the closure of  Stanbridge Earls School – A Serious Case Review (2015)  </w:t>
      </w:r>
    </w:p>
    <w:p w:rsidR="00D45888" w:rsidRDefault="00D45888" w:rsidP="00D45888">
      <w:pPr>
        <w:pStyle w:val="EndnoteText"/>
      </w:pPr>
    </w:p>
    <w:p w:rsidR="00D45888" w:rsidRDefault="00D45888" w:rsidP="00D45888">
      <w:pPr>
        <w:pStyle w:val="EndnoteText"/>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Prevention</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At our school we will minimise the risk of allegations against other pupils by:</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Providing PHSE as part of the curriculum, which will help students develop their understanding of acceptable behaviours, healthy relationships and keeping themselves safe.</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Having effective systems within our school for students to be able to raise concerns with staff, knowing they will be listened to, supported and valued, and that the issues they raise will be looked into and addressed</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Liaising and working with other professionals to develop robust risk assessments for pupils that are identified as posing a potential risk to other students</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Liaising with specialists to deliver appropriate targeted work to pupils identified as being at potential risk e.g. protective behaviours work.</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Allegations against other pupils (safegu</w:t>
      </w:r>
      <w:r>
        <w:rPr>
          <w:rFonts w:ascii="Times New Roman" w:hAnsi="Times New Roman"/>
          <w:sz w:val="24"/>
          <w:szCs w:val="24"/>
          <w:u w:val="single"/>
        </w:rPr>
        <w:t xml:space="preserve">arding issues) </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Allegations of abuse or that are a safeguarding concern maybe made against other students within our setting. These may include allegations of physical abuse, emotional abuse, sexual abuse and sexual exploitation. </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Safeguarding concerns or reports of abuse in any form may be made </w:t>
      </w:r>
      <w:r>
        <w:rPr>
          <w:rFonts w:ascii="Times New Roman" w:hAnsi="Times New Roman"/>
          <w:sz w:val="24"/>
          <w:szCs w:val="24"/>
        </w:rPr>
        <w:t>against students in our setting</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It may also be considered a safegu</w:t>
      </w:r>
      <w:r>
        <w:rPr>
          <w:rFonts w:ascii="Times New Roman" w:hAnsi="Times New Roman"/>
          <w:sz w:val="24"/>
          <w:szCs w:val="24"/>
        </w:rPr>
        <w:t>arding issue if the allegation:</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Is being made against an older pupil and refers to their behaviour towards a younger or more vulnerable pupil</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Is of a possible criminal nature</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Puts other pupils in the school at risk, or raises the risk factor for others</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Indicates that other pupils may have been harmed or be at risk or harm</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 xml:space="preserve">Includes bullying (under the definition of emotional abuse) or intimidation </w:t>
      </w:r>
    </w:p>
    <w:p w:rsidR="00D45888"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Specific safeguarding issues against another student may include:</w:t>
      </w:r>
    </w:p>
    <w:p w:rsidR="00D45888" w:rsidRPr="00D45888" w:rsidRDefault="00D45888" w:rsidP="00D45888">
      <w:pPr>
        <w:pStyle w:val="EndnoteText"/>
        <w:numPr>
          <w:ilvl w:val="0"/>
          <w:numId w:val="4"/>
        </w:numPr>
        <w:rPr>
          <w:rFonts w:ascii="Times New Roman" w:hAnsi="Times New Roman"/>
          <w:sz w:val="24"/>
          <w:szCs w:val="24"/>
        </w:rPr>
      </w:pPr>
      <w:r w:rsidRPr="00D45888">
        <w:rPr>
          <w:rFonts w:ascii="Times New Roman" w:hAnsi="Times New Roman"/>
          <w:sz w:val="24"/>
          <w:szCs w:val="24"/>
        </w:rPr>
        <w:t>Physical abuse: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Pre-planned violence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Physical altercations</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Forcing other to carry out violence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Forcing others to use drugs, alcohol or other substances</w:t>
      </w:r>
    </w:p>
    <w:p w:rsidR="00D45888" w:rsidRPr="00D45888" w:rsidRDefault="00D45888" w:rsidP="00D45888">
      <w:pPr>
        <w:pStyle w:val="EndnoteText"/>
        <w:numPr>
          <w:ilvl w:val="0"/>
          <w:numId w:val="4"/>
        </w:numPr>
        <w:rPr>
          <w:rFonts w:ascii="Times New Roman" w:hAnsi="Times New Roman"/>
          <w:sz w:val="24"/>
          <w:szCs w:val="24"/>
        </w:rPr>
      </w:pPr>
      <w:r w:rsidRPr="00D45888">
        <w:rPr>
          <w:rFonts w:ascii="Times New Roman" w:hAnsi="Times New Roman"/>
          <w:sz w:val="24"/>
          <w:szCs w:val="24"/>
        </w:rPr>
        <w:t>Emotional abuse: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Bullying</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Threats and Intimidation</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Blackmail/extortion</w:t>
      </w:r>
    </w:p>
    <w:p w:rsidR="00D45888" w:rsidRPr="00D45888" w:rsidRDefault="00D45888" w:rsidP="00D45888">
      <w:pPr>
        <w:pStyle w:val="EndnoteText"/>
        <w:numPr>
          <w:ilvl w:val="0"/>
          <w:numId w:val="5"/>
        </w:numPr>
        <w:rPr>
          <w:rFonts w:ascii="Times New Roman" w:hAnsi="Times New Roman"/>
          <w:sz w:val="24"/>
          <w:szCs w:val="24"/>
        </w:rPr>
      </w:pPr>
      <w:r w:rsidRPr="00D45888">
        <w:rPr>
          <w:rFonts w:ascii="Times New Roman" w:hAnsi="Times New Roman"/>
          <w:sz w:val="24"/>
          <w:szCs w:val="24"/>
        </w:rPr>
        <w:t>Sexual abuse:</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Sexual assault</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Indecent exposure</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Indecent touching</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Showing pornography to others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Forcing others to create/share/download indecent images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Sexting (see full guidance)</w:t>
      </w:r>
    </w:p>
    <w:p w:rsidR="00D45888" w:rsidRPr="00D45888" w:rsidRDefault="00D45888" w:rsidP="00D45888">
      <w:pPr>
        <w:pStyle w:val="EndnoteText"/>
        <w:numPr>
          <w:ilvl w:val="0"/>
          <w:numId w:val="5"/>
        </w:numPr>
        <w:rPr>
          <w:rFonts w:ascii="Times New Roman" w:hAnsi="Times New Roman"/>
          <w:sz w:val="24"/>
          <w:szCs w:val="24"/>
        </w:rPr>
      </w:pPr>
      <w:r w:rsidRPr="00D45888">
        <w:rPr>
          <w:rFonts w:ascii="Times New Roman" w:hAnsi="Times New Roman"/>
          <w:sz w:val="24"/>
          <w:szCs w:val="24"/>
        </w:rPr>
        <w:t>Sexual exploitation</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Encouraging/enticing other pupils to engage in inappropriate sexual behaviour</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Photographing or videoing other children performing indecent acts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Sharing images through social media</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Procedure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When an allegation is made by a pupil against another student, which is of a safeguarding nature it should be reported to the designated safeguarding lead (DSL) as soon as possible.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factual record must be kept (as normal safeguarding child protection procedures) and updated with all actions and outcomes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The incident should not be investigated at this time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The DSL will contact the MASH to discuss the case, and make a formal referral where appropriate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If the allegation indicates that a potential crime has taken place the MASH will refer the case to the police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 xml:space="preserve">Parents of both the alleged victim and the student being complained about should be informed, this should be discussed during the consultation with the MASH. </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risk assessment will be considered at this time to protect all parties involved.</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It may be appropriate to exclude the alleged culprit against whom the report has been made for a fixed time in line with our schools behaviour policy and procedures.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Police and social care will lead any investigation, however where neither police nor social care thresholds are met, our school will then undertake a thorough investigation following our schools policies and procedures.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risk assessment should be considered along with an appropriate supervision plan</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Support should be given to all student involved, and they should be involved in the relevant meetings and sign and agree to the plans that are set</w:t>
      </w:r>
    </w:p>
    <w:p w:rsidR="00D45888" w:rsidRDefault="00D45888" w:rsidP="00D45888">
      <w:pPr>
        <w:pStyle w:val="EndnoteText"/>
        <w:numPr>
          <w:ilvl w:val="0"/>
          <w:numId w:val="6"/>
        </w:numPr>
        <w:rPr>
          <w:rFonts w:ascii="Arial" w:hAnsi="Arial" w:cs="Arial"/>
          <w:sz w:val="24"/>
          <w:szCs w:val="24"/>
        </w:rPr>
      </w:pPr>
      <w:r w:rsidRPr="00D45888">
        <w:rPr>
          <w:rFonts w:ascii="Times New Roman" w:hAnsi="Times New Roman"/>
          <w:sz w:val="24"/>
          <w:szCs w:val="24"/>
        </w:rPr>
        <w:t>The plan should be monitored and review dates set</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If allegations made directly to other agencies</w:t>
      </w:r>
    </w:p>
    <w:p w:rsidR="00D45888" w:rsidRPr="00D45888" w:rsidRDefault="00D45888" w:rsidP="00D45888">
      <w:pPr>
        <w:pStyle w:val="EndnoteText"/>
        <w:rPr>
          <w:rFonts w:ascii="Times New Roman" w:hAnsi="Times New Roman"/>
          <w:sz w:val="24"/>
          <w:szCs w:val="24"/>
          <w:u w:val="single"/>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In some circumstances parent or the alleged victims will report directly to other agencies. In these cases (if not police or social care) these agencies should make referrals to the MASH or the police.</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MASH or police should liaise directly with the DSL for the school to inform them of the situation, or liaise with a member of the Designated Officer (LADO) and schools safeguarding team who will contact the DSL with the information.</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All professional involved can support with the risk assessment and management of such allegations</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Police action and responsibility</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Thames Valley Police will make an assessment on a case by case basis as to the legality, proportionality and necessity to share information with partner agencies, including schools.</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Where a report is made concerning a school-age child, and the school / educational establishment is already involved, the police should keep the DSL for that setting updated with developments in the case and police officer / staff dealing with the matter. In Oxfordshire, schools receive domestic abuse reports where children are involved in those cases where the police identify a safeguarding need.</w:t>
      </w:r>
    </w:p>
    <w:p w:rsidR="00D45888" w:rsidRPr="0075172E"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Where a report is made concerning a school-age child and the school / educational establishment is not already involved, the police must always give active consideration to sharing relevant information with the setting. This will ensure that the setting can take necessary measures to ensure the safety of the children involved and others they may come into contact with. The decision on appropriate measures to take should be made by the setting with support from the police as necessary.</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In the case of police or court bail conditions for safeguarding cases, the police must notify the setting of the conditions which are relevant to keep the child and others safe in the setting.</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If a report indicates a safeguarding concern regarding a child or a risk they may pose to others, the presumption is the report will be shared with those who need to know to help keep children safe. A review strategy meeting may be the most appropriate way of communicating and agreeing a suitable course of action.</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Contact numbers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 xml:space="preserve">Alison Beasley: </w:t>
      </w:r>
    </w:p>
    <w:p w:rsidR="00D45888" w:rsidRDefault="00D45888" w:rsidP="00D45888">
      <w:pPr>
        <w:pStyle w:val="EndnoteText"/>
        <w:rPr>
          <w:rFonts w:ascii="Arial" w:hAnsi="Arial" w:cs="Arial"/>
          <w:sz w:val="24"/>
          <w:szCs w:val="24"/>
        </w:rPr>
      </w:pPr>
      <w:r>
        <w:rPr>
          <w:rFonts w:ascii="Arial" w:hAnsi="Arial" w:cs="Arial"/>
          <w:sz w:val="24"/>
          <w:szCs w:val="24"/>
        </w:rPr>
        <w:t xml:space="preserve">Local Authority Designated Officer: </w:t>
      </w:r>
    </w:p>
    <w:p w:rsidR="00D45888" w:rsidRDefault="00D45888" w:rsidP="00D45888">
      <w:pPr>
        <w:pStyle w:val="EndnoteText"/>
        <w:rPr>
          <w:rFonts w:ascii="Arial" w:hAnsi="Arial" w:cs="Arial"/>
          <w:sz w:val="24"/>
          <w:szCs w:val="24"/>
        </w:rPr>
      </w:pPr>
      <w:r>
        <w:rPr>
          <w:rFonts w:ascii="Arial" w:hAnsi="Arial" w:cs="Arial"/>
          <w:sz w:val="24"/>
          <w:szCs w:val="24"/>
        </w:rPr>
        <w:t>01865 815956</w:t>
      </w:r>
    </w:p>
    <w:p w:rsidR="00D45888" w:rsidRDefault="00F1521E" w:rsidP="00D45888">
      <w:pPr>
        <w:pStyle w:val="EndnoteText"/>
        <w:rPr>
          <w:rFonts w:ascii="Arial" w:hAnsi="Arial" w:cs="Arial"/>
          <w:sz w:val="24"/>
          <w:szCs w:val="24"/>
        </w:rPr>
      </w:pPr>
      <w:hyperlink r:id="rId1" w:history="1">
        <w:r w:rsidR="00D45888" w:rsidRPr="002D30CA">
          <w:rPr>
            <w:rStyle w:val="Hyperlink"/>
            <w:rFonts w:ascii="Arial" w:hAnsi="Arial" w:cs="Arial"/>
            <w:sz w:val="24"/>
            <w:szCs w:val="24"/>
          </w:rPr>
          <w:t>Alison.beasley@oxfordshire.gov.uk</w:t>
        </w:r>
      </w:hyperlink>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Donna Crozier</w:t>
      </w:r>
    </w:p>
    <w:p w:rsidR="00D45888" w:rsidRDefault="00D45888" w:rsidP="00D45888">
      <w:pPr>
        <w:pStyle w:val="EndnoteText"/>
        <w:rPr>
          <w:rFonts w:ascii="Arial" w:hAnsi="Arial" w:cs="Arial"/>
          <w:sz w:val="24"/>
          <w:szCs w:val="24"/>
        </w:rPr>
      </w:pPr>
      <w:r>
        <w:rPr>
          <w:rFonts w:ascii="Arial" w:hAnsi="Arial" w:cs="Arial"/>
          <w:sz w:val="24"/>
          <w:szCs w:val="24"/>
        </w:rPr>
        <w:t>Assistant designated officer</w:t>
      </w:r>
    </w:p>
    <w:p w:rsidR="00D45888" w:rsidRDefault="00D45888" w:rsidP="00D45888">
      <w:pPr>
        <w:pStyle w:val="EndnoteText"/>
        <w:rPr>
          <w:rFonts w:ascii="Arial" w:hAnsi="Arial" w:cs="Arial"/>
          <w:sz w:val="24"/>
          <w:szCs w:val="24"/>
        </w:rPr>
      </w:pPr>
      <w:r>
        <w:rPr>
          <w:rFonts w:ascii="Arial" w:hAnsi="Arial" w:cs="Arial"/>
          <w:sz w:val="24"/>
          <w:szCs w:val="24"/>
        </w:rPr>
        <w:t>01865 816382</w:t>
      </w:r>
    </w:p>
    <w:p w:rsidR="00D45888" w:rsidRDefault="00F1521E" w:rsidP="00D45888">
      <w:pPr>
        <w:pStyle w:val="EndnoteText"/>
        <w:rPr>
          <w:rFonts w:ascii="Arial" w:hAnsi="Arial" w:cs="Arial"/>
          <w:sz w:val="24"/>
          <w:szCs w:val="24"/>
        </w:rPr>
      </w:pPr>
      <w:hyperlink r:id="rId2" w:history="1">
        <w:r w:rsidR="00D45888" w:rsidRPr="002D30CA">
          <w:rPr>
            <w:rStyle w:val="Hyperlink"/>
            <w:rFonts w:ascii="Arial" w:hAnsi="Arial" w:cs="Arial"/>
            <w:sz w:val="24"/>
            <w:szCs w:val="24"/>
          </w:rPr>
          <w:t>Donna.crozier@oxfordshire.gov.uk</w:t>
        </w:r>
      </w:hyperlink>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 xml:space="preserve">LADO and Safeguarding Team </w:t>
      </w:r>
    </w:p>
    <w:p w:rsidR="00D45888" w:rsidRDefault="00D45888" w:rsidP="00D45888">
      <w:pPr>
        <w:pStyle w:val="EndnoteText"/>
        <w:rPr>
          <w:rFonts w:ascii="Arial" w:hAnsi="Arial" w:cs="Arial"/>
          <w:sz w:val="24"/>
          <w:szCs w:val="24"/>
        </w:rPr>
      </w:pPr>
      <w:r>
        <w:rPr>
          <w:rFonts w:ascii="Arial" w:hAnsi="Arial" w:cs="Arial"/>
          <w:sz w:val="24"/>
          <w:szCs w:val="24"/>
        </w:rPr>
        <w:t>01865 810603</w:t>
      </w:r>
    </w:p>
    <w:p w:rsidR="00D45888" w:rsidRDefault="00F1521E" w:rsidP="00D45888">
      <w:pPr>
        <w:pStyle w:val="EndnoteText"/>
        <w:rPr>
          <w:rFonts w:ascii="Arial" w:hAnsi="Arial" w:cs="Arial"/>
          <w:sz w:val="24"/>
          <w:szCs w:val="24"/>
        </w:rPr>
      </w:pPr>
      <w:hyperlink r:id="rId3" w:history="1">
        <w:r w:rsidR="00D45888" w:rsidRPr="002D30CA">
          <w:rPr>
            <w:rStyle w:val="Hyperlink"/>
            <w:rFonts w:ascii="Arial" w:hAnsi="Arial" w:cs="Arial"/>
            <w:sz w:val="24"/>
            <w:szCs w:val="24"/>
          </w:rPr>
          <w:t>Lado.safeguarding@oxfordshire.gov.uk</w:t>
        </w:r>
      </w:hyperlink>
      <w:r w:rsidR="00D45888">
        <w:rPr>
          <w:rFonts w:ascii="Arial" w:hAnsi="Arial" w:cs="Arial"/>
          <w:sz w:val="24"/>
          <w:szCs w:val="24"/>
        </w:rPr>
        <w:t xml:space="preserve">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MASH</w:t>
      </w:r>
    </w:p>
    <w:p w:rsidR="00D45888" w:rsidRDefault="00D45888" w:rsidP="00D45888">
      <w:pPr>
        <w:pStyle w:val="EndnoteText"/>
        <w:rPr>
          <w:rFonts w:ascii="Arial" w:hAnsi="Arial" w:cs="Arial"/>
          <w:sz w:val="24"/>
          <w:szCs w:val="24"/>
        </w:rPr>
      </w:pPr>
      <w:r>
        <w:rPr>
          <w:rFonts w:ascii="Arial" w:hAnsi="Arial" w:cs="Arial"/>
          <w:sz w:val="24"/>
          <w:szCs w:val="24"/>
        </w:rPr>
        <w:t>Multi Agency Safeguarding Hub</w:t>
      </w:r>
    </w:p>
    <w:p w:rsidR="00D45888" w:rsidRDefault="00D45888" w:rsidP="00D45888">
      <w:pPr>
        <w:pStyle w:val="EndnoteText"/>
        <w:rPr>
          <w:rFonts w:ascii="Arial" w:hAnsi="Arial" w:cs="Arial"/>
          <w:sz w:val="24"/>
          <w:szCs w:val="24"/>
        </w:rPr>
      </w:pPr>
      <w:r>
        <w:rPr>
          <w:rFonts w:ascii="Arial" w:hAnsi="Arial" w:cs="Arial"/>
          <w:sz w:val="24"/>
          <w:szCs w:val="24"/>
        </w:rPr>
        <w:t>0845 050 7666</w:t>
      </w:r>
    </w:p>
    <w:p w:rsidR="00D45888" w:rsidRDefault="00F1521E" w:rsidP="00D45888">
      <w:pPr>
        <w:pStyle w:val="EndnoteText"/>
        <w:rPr>
          <w:rFonts w:ascii="Arial" w:hAnsi="Arial" w:cs="Arial"/>
          <w:sz w:val="24"/>
          <w:szCs w:val="24"/>
        </w:rPr>
      </w:pPr>
      <w:hyperlink r:id="rId4" w:history="1">
        <w:r w:rsidR="00D45888" w:rsidRPr="002D30CA">
          <w:rPr>
            <w:rStyle w:val="Hyperlink"/>
            <w:rFonts w:ascii="Arial" w:hAnsi="Arial" w:cs="Arial"/>
            <w:sz w:val="24"/>
            <w:szCs w:val="24"/>
          </w:rPr>
          <w:t>mash-childrens@oxfordshire.gcsx.gov.uk</w:t>
        </w:r>
      </w:hyperlink>
      <w:r w:rsidR="00D45888">
        <w:rPr>
          <w:rFonts w:ascii="Arial" w:hAnsi="Arial" w:cs="Arial"/>
          <w:sz w:val="24"/>
          <w:szCs w:val="24"/>
        </w:rPr>
        <w:t xml:space="preserve">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Pr="00F954BE" w:rsidRDefault="00D45888" w:rsidP="00D45888">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88" w:rsidRDefault="00D45888" w:rsidP="00D45888">
      <w:r>
        <w:separator/>
      </w:r>
    </w:p>
  </w:footnote>
  <w:footnote w:type="continuationSeparator" w:id="0">
    <w:p w:rsidR="00D45888" w:rsidRDefault="00D45888" w:rsidP="00D4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8"/>
    <w:rsid w:val="009278BC"/>
    <w:rsid w:val="00D45888"/>
    <w:rsid w:val="00F1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mailto:Lado.safeguarding@oxfordshire.gov.uk" TargetMode="External"/><Relationship Id="rId2" Type="http://schemas.openxmlformats.org/officeDocument/2006/relationships/hyperlink" Target="mailto:Donna.crozier@oxfordshire.gov.uk" TargetMode="External"/><Relationship Id="rId1" Type="http://schemas.openxmlformats.org/officeDocument/2006/relationships/hyperlink" Target="mailto:Alison.beasley@oxfordshire.gov.uk" TargetMode="External"/><Relationship Id="rId4" Type="http://schemas.openxmlformats.org/officeDocument/2006/relationships/hyperlink" Target="mailto:mash-childrens@oxford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2016-11-10T11:11:00Z</dcterms:created>
  <dcterms:modified xsi:type="dcterms:W3CDTF">2016-11-10T11:11:00Z</dcterms:modified>
</cp:coreProperties>
</file>